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67BE5" w14:textId="77777777" w:rsidR="008F27B5" w:rsidRPr="003C4E23" w:rsidRDefault="008F27B5" w:rsidP="008F27B5">
      <w:pPr>
        <w:rPr>
          <w:rFonts w:ascii="Arial" w:hAnsi="Arial" w:cs="Arial"/>
          <w:b/>
          <w:bCs/>
          <w:color w:val="000000"/>
          <w:sz w:val="36"/>
          <w:szCs w:val="36"/>
        </w:rPr>
      </w:pPr>
      <w:r w:rsidRPr="003C4E23">
        <w:rPr>
          <w:rFonts w:ascii="Arial" w:hAnsi="Arial" w:cs="Arial"/>
          <w:b/>
          <w:bCs/>
          <w:color w:val="000000"/>
          <w:sz w:val="36"/>
          <w:szCs w:val="36"/>
        </w:rPr>
        <w:t xml:space="preserve">Project </w:t>
      </w:r>
      <w:bookmarkStart w:id="0" w:name="_GoBack"/>
      <w:bookmarkEnd w:id="0"/>
      <w:r w:rsidRPr="003C4E23">
        <w:rPr>
          <w:rFonts w:ascii="Arial" w:hAnsi="Arial" w:cs="Arial"/>
          <w:b/>
          <w:bCs/>
          <w:color w:val="000000"/>
          <w:sz w:val="36"/>
          <w:szCs w:val="36"/>
        </w:rPr>
        <w:t xml:space="preserve">RAP Sustaining the Vision Plan </w:t>
      </w:r>
    </w:p>
    <w:p w14:paraId="4AFBE33F" w14:textId="77777777" w:rsidR="008F27B5" w:rsidRDefault="008F27B5" w:rsidP="008F27B5">
      <w:pPr>
        <w:rPr>
          <w:rFonts w:ascii="Arial" w:hAnsi="Arial" w:cs="Arial"/>
          <w:b/>
          <w:bCs/>
          <w:color w:val="000000"/>
          <w:sz w:val="22"/>
          <w:szCs w:val="22"/>
        </w:rPr>
      </w:pPr>
      <w:r>
        <w:rPr>
          <w:rFonts w:ascii="Arial" w:hAnsi="Arial" w:cs="Arial"/>
          <w:b/>
          <w:bCs/>
          <w:color w:val="000000"/>
          <w:sz w:val="22"/>
          <w:szCs w:val="22"/>
        </w:rPr>
        <w:t>May 2018</w:t>
      </w:r>
    </w:p>
    <w:p w14:paraId="194F2CD3" w14:textId="77777777" w:rsidR="00B276D2" w:rsidRDefault="00B276D2" w:rsidP="00B276D2">
      <w:pPr>
        <w:rPr>
          <w:rFonts w:ascii="Arial" w:hAnsi="Arial" w:cs="Arial"/>
          <w:b/>
          <w:bCs/>
          <w:color w:val="000000"/>
          <w:sz w:val="22"/>
          <w:szCs w:val="22"/>
        </w:rPr>
      </w:pPr>
    </w:p>
    <w:p w14:paraId="5548D250" w14:textId="6A8BB813" w:rsidR="008F27B5" w:rsidRPr="008F27B5" w:rsidRDefault="00DD3864" w:rsidP="00B276D2">
      <w:pPr>
        <w:rPr>
          <w:b/>
        </w:rPr>
      </w:pPr>
      <w:r>
        <w:rPr>
          <w:rFonts w:ascii="Arial" w:hAnsi="Arial" w:cs="Arial"/>
          <w:b/>
          <w:bCs/>
          <w:color w:val="000000"/>
          <w:sz w:val="22"/>
          <w:szCs w:val="22"/>
        </w:rPr>
        <w:t>Mission Statement:</w:t>
      </w:r>
      <w:r w:rsidR="008F27B5">
        <w:rPr>
          <w:rFonts w:ascii="Arial" w:hAnsi="Arial" w:cs="Arial"/>
          <w:b/>
          <w:bCs/>
          <w:color w:val="000000"/>
          <w:sz w:val="22"/>
          <w:szCs w:val="22"/>
        </w:rPr>
        <w:t xml:space="preserve"> </w:t>
      </w:r>
      <w:r w:rsidR="00046BF0">
        <w:rPr>
          <w:rFonts w:ascii="Arial" w:hAnsi="Arial" w:cs="Arial"/>
          <w:b/>
          <w:bCs/>
          <w:color w:val="000000"/>
          <w:sz w:val="22"/>
          <w:szCs w:val="22"/>
        </w:rPr>
        <w:t>To ensure the educational success of all students as measured by state academic standards.  We are committed to providing our scholars with rigorous instruction and support in an equitable and culturally responsive school environment. (Gilmore Lane)</w:t>
      </w:r>
    </w:p>
    <w:p w14:paraId="15F8420D" w14:textId="77777777" w:rsidR="008F27B5" w:rsidRPr="008F27B5" w:rsidRDefault="008F27B5" w:rsidP="00B276D2"/>
    <w:p w14:paraId="0D776715" w14:textId="3055BE06" w:rsidR="00B276D2" w:rsidRPr="00B276D2" w:rsidRDefault="00DD3864" w:rsidP="00B276D2">
      <w:pPr>
        <w:rPr>
          <w:rFonts w:ascii="Times New Roman" w:hAnsi="Times New Roman" w:cs="Times New Roman"/>
        </w:rPr>
      </w:pPr>
      <w:r>
        <w:rPr>
          <w:rFonts w:ascii="Arial" w:hAnsi="Arial" w:cs="Arial"/>
          <w:b/>
          <w:bCs/>
          <w:color w:val="000000"/>
          <w:sz w:val="22"/>
          <w:szCs w:val="22"/>
        </w:rPr>
        <w:t>Strategic Action</w:t>
      </w:r>
      <w:r w:rsidR="00B276D2" w:rsidRPr="00B276D2">
        <w:rPr>
          <w:rFonts w:ascii="Arial" w:hAnsi="Arial" w:cs="Arial"/>
          <w:b/>
          <w:bCs/>
          <w:color w:val="000000"/>
          <w:sz w:val="22"/>
          <w:szCs w:val="22"/>
        </w:rPr>
        <w:t xml:space="preserve">: </w:t>
      </w:r>
      <w:r w:rsidR="008F27B5">
        <w:rPr>
          <w:rFonts w:ascii="Arial" w:hAnsi="Arial" w:cs="Arial"/>
          <w:b/>
          <w:color w:val="000000"/>
          <w:sz w:val="22"/>
          <w:szCs w:val="22"/>
        </w:rPr>
        <w:t>T</w:t>
      </w:r>
      <w:r w:rsidR="008F27B5" w:rsidRPr="008F27B5">
        <w:rPr>
          <w:rFonts w:ascii="Arial" w:hAnsi="Arial" w:cs="Arial"/>
          <w:b/>
          <w:color w:val="000000"/>
          <w:sz w:val="22"/>
          <w:szCs w:val="22"/>
        </w:rPr>
        <w:t>o continue finding talent after Project RAP ends</w:t>
      </w:r>
    </w:p>
    <w:p w14:paraId="38BA4E98" w14:textId="77777777" w:rsidR="00B276D2" w:rsidRPr="00B276D2" w:rsidRDefault="00B276D2" w:rsidP="00B276D2">
      <w:pPr>
        <w:rPr>
          <w:rFonts w:ascii="Times New Roman" w:eastAsia="Times New Roman" w:hAnsi="Times New Roman" w:cs="Times New Roman"/>
        </w:rPr>
      </w:pPr>
    </w:p>
    <w:p w14:paraId="0A02DDC5" w14:textId="5B2972DA" w:rsidR="00B276D2" w:rsidRPr="00DD3864" w:rsidRDefault="00B276D2" w:rsidP="00B276D2">
      <w:pPr>
        <w:rPr>
          <w:rFonts w:ascii="Times New Roman" w:hAnsi="Times New Roman" w:cs="Times New Roman"/>
        </w:rPr>
      </w:pPr>
      <w:r w:rsidRPr="00B276D2">
        <w:rPr>
          <w:rFonts w:ascii="Arial" w:hAnsi="Arial" w:cs="Arial"/>
          <w:b/>
          <w:bCs/>
          <w:color w:val="000000"/>
          <w:sz w:val="22"/>
          <w:szCs w:val="22"/>
        </w:rPr>
        <w:t>Action Items</w:t>
      </w:r>
    </w:p>
    <w:p w14:paraId="2B028484" w14:textId="6467AA38" w:rsidR="00B276D2" w:rsidRDefault="00B276D2" w:rsidP="00B276D2">
      <w:pPr>
        <w:rPr>
          <w:rFonts w:ascii="Times New Roman" w:eastAsia="Times New Roman" w:hAnsi="Times New Roman" w:cs="Times New Roman"/>
        </w:rPr>
      </w:pPr>
    </w:p>
    <w:tbl>
      <w:tblPr>
        <w:tblW w:w="5000" w:type="pct"/>
        <w:tblCellMar>
          <w:top w:w="15" w:type="dxa"/>
          <w:left w:w="15" w:type="dxa"/>
          <w:bottom w:w="15" w:type="dxa"/>
          <w:right w:w="15" w:type="dxa"/>
        </w:tblCellMar>
        <w:tblLook w:val="04A0" w:firstRow="1" w:lastRow="0" w:firstColumn="1" w:lastColumn="0" w:noHBand="0" w:noVBand="1"/>
      </w:tblPr>
      <w:tblGrid>
        <w:gridCol w:w="2914"/>
        <w:gridCol w:w="2285"/>
        <w:gridCol w:w="2104"/>
        <w:gridCol w:w="217"/>
        <w:gridCol w:w="5404"/>
        <w:gridCol w:w="16"/>
      </w:tblGrid>
      <w:tr w:rsidR="008B3ABB" w:rsidRPr="008F27B5" w14:paraId="62B830CE" w14:textId="77777777" w:rsidTr="002A4603">
        <w:trPr>
          <w:trHeight w:val="420"/>
        </w:trPr>
        <w:tc>
          <w:tcPr>
            <w:tcW w:w="5000" w:type="pct"/>
            <w:gridSpan w:val="6"/>
            <w:tcBorders>
              <w:top w:val="single" w:sz="8" w:space="0" w:color="0000FF"/>
              <w:left w:val="single" w:sz="8" w:space="0" w:color="0000FF"/>
              <w:bottom w:val="single" w:sz="8" w:space="0" w:color="CCCCCC"/>
              <w:right w:val="single" w:sz="8" w:space="0" w:color="0000FF"/>
            </w:tcBorders>
            <w:shd w:val="clear" w:color="auto" w:fill="00FFFF"/>
            <w:tcMar>
              <w:top w:w="100" w:type="dxa"/>
              <w:left w:w="100" w:type="dxa"/>
              <w:bottom w:w="100" w:type="dxa"/>
              <w:right w:w="100" w:type="dxa"/>
            </w:tcMar>
            <w:hideMark/>
          </w:tcPr>
          <w:p w14:paraId="69D670F4" w14:textId="1642946A" w:rsidR="008B3ABB" w:rsidRPr="008F27B5" w:rsidRDefault="008B3ABB" w:rsidP="00A03ACC">
            <w:pPr>
              <w:rPr>
                <w:rFonts w:ascii="Arial" w:hAnsi="Arial" w:cs="Arial"/>
                <w:sz w:val="22"/>
                <w:szCs w:val="22"/>
              </w:rPr>
            </w:pPr>
            <w:r w:rsidRPr="008F27B5">
              <w:rPr>
                <w:rFonts w:ascii="Arial" w:hAnsi="Arial" w:cs="Arial"/>
                <w:b/>
                <w:bCs/>
                <w:color w:val="000000"/>
                <w:sz w:val="22"/>
                <w:szCs w:val="22"/>
              </w:rPr>
              <w:t xml:space="preserve">Strategic Initiative: </w:t>
            </w:r>
            <w:r w:rsidR="00A03ACC" w:rsidRPr="00A03ACC">
              <w:rPr>
                <w:rFonts w:ascii="Arial" w:hAnsi="Arial" w:cs="Arial"/>
                <w:b/>
                <w:bCs/>
                <w:color w:val="000000"/>
                <w:sz w:val="20"/>
                <w:szCs w:val="20"/>
              </w:rPr>
              <w:t xml:space="preserve">Provide support for the continuation of cluster grouping at Gilmore </w:t>
            </w:r>
            <w:r w:rsidRPr="00A03ACC">
              <w:rPr>
                <w:rFonts w:ascii="Arial" w:hAnsi="Arial" w:cs="Arial"/>
                <w:b/>
                <w:sz w:val="20"/>
                <w:szCs w:val="20"/>
              </w:rPr>
              <w:t>Lane Elementary</w:t>
            </w:r>
          </w:p>
        </w:tc>
      </w:tr>
      <w:tr w:rsidR="008B3ABB" w:rsidRPr="00B276D2" w14:paraId="71603C48" w14:textId="77777777" w:rsidTr="00046BF0">
        <w:tc>
          <w:tcPr>
            <w:tcW w:w="1126" w:type="pct"/>
            <w:tcBorders>
              <w:top w:val="single" w:sz="8" w:space="0" w:color="CCCCCC"/>
              <w:left w:val="single" w:sz="8" w:space="0" w:color="CCCCCC"/>
              <w:bottom w:val="single" w:sz="8" w:space="0" w:color="CCCCCC"/>
              <w:right w:val="single" w:sz="8" w:space="0" w:color="CCCCCC"/>
            </w:tcBorders>
            <w:shd w:val="clear" w:color="auto" w:fill="CCCCCC"/>
            <w:tcMar>
              <w:top w:w="100" w:type="dxa"/>
              <w:left w:w="100" w:type="dxa"/>
              <w:bottom w:w="100" w:type="dxa"/>
              <w:right w:w="100" w:type="dxa"/>
            </w:tcMar>
            <w:hideMark/>
          </w:tcPr>
          <w:p w14:paraId="4F354BD1" w14:textId="77777777" w:rsidR="008B3ABB" w:rsidRPr="00B276D2" w:rsidRDefault="008B3ABB" w:rsidP="002A4603">
            <w:pPr>
              <w:rPr>
                <w:rFonts w:ascii="Times New Roman" w:hAnsi="Times New Roman" w:cs="Times New Roman"/>
              </w:rPr>
            </w:pPr>
            <w:r w:rsidRPr="00B276D2">
              <w:rPr>
                <w:rFonts w:ascii="Arial" w:hAnsi="Arial" w:cs="Arial"/>
                <w:b/>
                <w:bCs/>
                <w:color w:val="000000"/>
                <w:sz w:val="20"/>
                <w:szCs w:val="20"/>
              </w:rPr>
              <w:t>Action</w:t>
            </w:r>
          </w:p>
        </w:tc>
        <w:tc>
          <w:tcPr>
            <w:tcW w:w="883" w:type="pct"/>
            <w:tcBorders>
              <w:top w:val="single" w:sz="8" w:space="0" w:color="CCCCCC"/>
              <w:left w:val="single" w:sz="8" w:space="0" w:color="CCCCCC"/>
              <w:bottom w:val="single" w:sz="8" w:space="0" w:color="CCCCCC"/>
              <w:right w:val="single" w:sz="8" w:space="0" w:color="CCCCCC"/>
            </w:tcBorders>
            <w:shd w:val="clear" w:color="auto" w:fill="CCCCCC"/>
            <w:tcMar>
              <w:top w:w="100" w:type="dxa"/>
              <w:left w:w="100" w:type="dxa"/>
              <w:bottom w:w="100" w:type="dxa"/>
              <w:right w:w="100" w:type="dxa"/>
            </w:tcMar>
            <w:hideMark/>
          </w:tcPr>
          <w:p w14:paraId="4AAA69DE" w14:textId="77777777" w:rsidR="008B3ABB" w:rsidRPr="00B276D2" w:rsidRDefault="008B3ABB" w:rsidP="002A4603">
            <w:pPr>
              <w:rPr>
                <w:rFonts w:ascii="Times New Roman" w:hAnsi="Times New Roman" w:cs="Times New Roman"/>
              </w:rPr>
            </w:pPr>
            <w:r w:rsidRPr="00B276D2">
              <w:rPr>
                <w:rFonts w:ascii="Arial" w:hAnsi="Arial" w:cs="Arial"/>
                <w:b/>
                <w:bCs/>
                <w:color w:val="000000"/>
                <w:sz w:val="20"/>
                <w:szCs w:val="20"/>
              </w:rPr>
              <w:t>Responsible Party</w:t>
            </w:r>
          </w:p>
        </w:tc>
        <w:tc>
          <w:tcPr>
            <w:tcW w:w="813" w:type="pct"/>
            <w:tcBorders>
              <w:top w:val="single" w:sz="8" w:space="0" w:color="CCCCCC"/>
              <w:left w:val="single" w:sz="8" w:space="0" w:color="CCCCCC"/>
              <w:bottom w:val="single" w:sz="8" w:space="0" w:color="CCCCCC"/>
              <w:right w:val="single" w:sz="8" w:space="0" w:color="CCCCCC"/>
            </w:tcBorders>
            <w:shd w:val="clear" w:color="auto" w:fill="CCCCCC"/>
            <w:tcMar>
              <w:top w:w="100" w:type="dxa"/>
              <w:left w:w="100" w:type="dxa"/>
              <w:bottom w:w="100" w:type="dxa"/>
              <w:right w:w="100" w:type="dxa"/>
            </w:tcMar>
            <w:hideMark/>
          </w:tcPr>
          <w:p w14:paraId="06AC346E" w14:textId="77777777" w:rsidR="008B3ABB" w:rsidRPr="00B276D2" w:rsidRDefault="008B3ABB" w:rsidP="002A4603">
            <w:pPr>
              <w:rPr>
                <w:rFonts w:ascii="Times New Roman" w:hAnsi="Times New Roman" w:cs="Times New Roman"/>
              </w:rPr>
            </w:pPr>
            <w:r w:rsidRPr="00B276D2">
              <w:rPr>
                <w:rFonts w:ascii="Arial" w:hAnsi="Arial" w:cs="Arial"/>
                <w:b/>
                <w:bCs/>
                <w:color w:val="000000"/>
                <w:sz w:val="20"/>
                <w:szCs w:val="20"/>
              </w:rPr>
              <w:t>Timeline</w:t>
            </w:r>
          </w:p>
        </w:tc>
        <w:tc>
          <w:tcPr>
            <w:tcW w:w="84" w:type="pct"/>
            <w:tcBorders>
              <w:top w:val="single" w:sz="8" w:space="0" w:color="CCCCCC"/>
              <w:left w:val="single" w:sz="8" w:space="0" w:color="CCCCCC"/>
              <w:bottom w:val="single" w:sz="8" w:space="0" w:color="CCCCCC"/>
              <w:right w:val="single" w:sz="8" w:space="0" w:color="CCCCCC"/>
            </w:tcBorders>
            <w:shd w:val="clear" w:color="auto" w:fill="CCCCCC"/>
            <w:tcMar>
              <w:top w:w="100" w:type="dxa"/>
              <w:left w:w="100" w:type="dxa"/>
              <w:bottom w:w="100" w:type="dxa"/>
              <w:right w:w="100" w:type="dxa"/>
            </w:tcMar>
            <w:hideMark/>
          </w:tcPr>
          <w:p w14:paraId="17641E14" w14:textId="77777777" w:rsidR="008B3ABB" w:rsidRPr="00B276D2" w:rsidRDefault="008B3ABB" w:rsidP="002A4603">
            <w:pPr>
              <w:rPr>
                <w:rFonts w:ascii="Times New Roman" w:hAnsi="Times New Roman" w:cs="Times New Roman"/>
              </w:rPr>
            </w:pPr>
          </w:p>
        </w:tc>
        <w:tc>
          <w:tcPr>
            <w:tcW w:w="2094" w:type="pct"/>
            <w:gridSpan w:val="2"/>
            <w:tcBorders>
              <w:top w:val="single" w:sz="8" w:space="0" w:color="CCCCCC"/>
              <w:left w:val="single" w:sz="8" w:space="0" w:color="CCCCCC"/>
              <w:bottom w:val="single" w:sz="8" w:space="0" w:color="CCCCCC"/>
              <w:right w:val="single" w:sz="8" w:space="0" w:color="CCCCCC"/>
            </w:tcBorders>
            <w:shd w:val="clear" w:color="auto" w:fill="CCCCCC"/>
            <w:tcMar>
              <w:top w:w="100" w:type="dxa"/>
              <w:left w:w="100" w:type="dxa"/>
              <w:bottom w:w="100" w:type="dxa"/>
              <w:right w:w="100" w:type="dxa"/>
            </w:tcMar>
            <w:hideMark/>
          </w:tcPr>
          <w:p w14:paraId="76E2AEFE" w14:textId="77777777" w:rsidR="008B3ABB" w:rsidRPr="00B276D2" w:rsidRDefault="008B3ABB" w:rsidP="002A4603">
            <w:pPr>
              <w:rPr>
                <w:rFonts w:ascii="Times New Roman" w:hAnsi="Times New Roman" w:cs="Times New Roman"/>
              </w:rPr>
            </w:pPr>
            <w:r>
              <w:rPr>
                <w:rFonts w:ascii="Arial" w:hAnsi="Arial" w:cs="Arial"/>
                <w:b/>
                <w:bCs/>
                <w:color w:val="000000"/>
                <w:sz w:val="20"/>
                <w:szCs w:val="20"/>
              </w:rPr>
              <w:t>Other Action Items</w:t>
            </w:r>
          </w:p>
        </w:tc>
      </w:tr>
      <w:tr w:rsidR="00471749" w:rsidRPr="000F382E" w14:paraId="01D637CB" w14:textId="77777777" w:rsidTr="00046BF0">
        <w:trPr>
          <w:gridAfter w:val="1"/>
          <w:wAfter w:w="6" w:type="pct"/>
        </w:trPr>
        <w:tc>
          <w:tcPr>
            <w:tcW w:w="1126" w:type="pct"/>
            <w:tcBorders>
              <w:top w:val="single" w:sz="8" w:space="0" w:color="CCCCCC"/>
              <w:left w:val="single" w:sz="8" w:space="0" w:color="0000FF"/>
              <w:bottom w:val="single" w:sz="8" w:space="0" w:color="0000FF"/>
              <w:right w:val="single" w:sz="8" w:space="0" w:color="0000FF"/>
            </w:tcBorders>
            <w:tcMar>
              <w:top w:w="100" w:type="dxa"/>
              <w:left w:w="100" w:type="dxa"/>
              <w:bottom w:w="100" w:type="dxa"/>
              <w:right w:w="100" w:type="dxa"/>
            </w:tcMar>
            <w:hideMark/>
          </w:tcPr>
          <w:p w14:paraId="72A1E5FF" w14:textId="1F9AB8E9" w:rsidR="00471749" w:rsidRPr="000F382E" w:rsidRDefault="00046BF0" w:rsidP="00A83E62">
            <w:pPr>
              <w:rPr>
                <w:rFonts w:ascii="Arial" w:eastAsia="Times New Roman" w:hAnsi="Arial" w:cs="Arial"/>
                <w:sz w:val="20"/>
                <w:szCs w:val="20"/>
              </w:rPr>
            </w:pPr>
            <w:r w:rsidRPr="000F382E">
              <w:rPr>
                <w:rFonts w:ascii="Arial" w:eastAsia="Times New Roman" w:hAnsi="Arial" w:cs="Arial"/>
                <w:sz w:val="20"/>
                <w:szCs w:val="20"/>
              </w:rPr>
              <w:t>Determine cluster classroom configurations</w:t>
            </w:r>
            <w:r w:rsidRPr="000F382E">
              <w:rPr>
                <w:rFonts w:ascii="Arial" w:eastAsia="Times New Roman" w:hAnsi="Arial" w:cs="Arial"/>
                <w:sz w:val="20"/>
                <w:szCs w:val="20"/>
              </w:rPr>
              <w:t xml:space="preserve"> </w:t>
            </w:r>
          </w:p>
          <w:p w14:paraId="03418B8E" w14:textId="1B5617E3" w:rsidR="00471749" w:rsidRPr="000F382E" w:rsidRDefault="00471749" w:rsidP="00A83E62">
            <w:pPr>
              <w:rPr>
                <w:rFonts w:ascii="Arial" w:eastAsia="Times New Roman" w:hAnsi="Arial" w:cs="Arial"/>
                <w:sz w:val="20"/>
                <w:szCs w:val="20"/>
              </w:rPr>
            </w:pPr>
          </w:p>
        </w:tc>
        <w:tc>
          <w:tcPr>
            <w:tcW w:w="883" w:type="pct"/>
            <w:tcBorders>
              <w:top w:val="single" w:sz="8" w:space="0" w:color="CCCCCC"/>
              <w:left w:val="single" w:sz="8" w:space="0" w:color="0000FF"/>
              <w:bottom w:val="single" w:sz="8" w:space="0" w:color="0000FF"/>
              <w:right w:val="single" w:sz="8" w:space="0" w:color="0000FF"/>
            </w:tcBorders>
            <w:tcMar>
              <w:top w:w="100" w:type="dxa"/>
              <w:left w:w="100" w:type="dxa"/>
              <w:bottom w:w="100" w:type="dxa"/>
              <w:right w:w="100" w:type="dxa"/>
            </w:tcMar>
            <w:hideMark/>
          </w:tcPr>
          <w:p w14:paraId="36744120" w14:textId="77777777" w:rsidR="00471749" w:rsidRPr="000F382E" w:rsidRDefault="00471749" w:rsidP="008400BC">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Principal</w:t>
            </w:r>
          </w:p>
          <w:p w14:paraId="7BEB97CF" w14:textId="77777777" w:rsidR="00471749" w:rsidRPr="000F382E" w:rsidRDefault="00471749" w:rsidP="008400BC">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GT leads</w:t>
            </w:r>
          </w:p>
          <w:p w14:paraId="21FF71C5" w14:textId="77777777" w:rsidR="00471749" w:rsidRPr="000F382E" w:rsidRDefault="00471749" w:rsidP="008400BC">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Classroom teachers</w:t>
            </w:r>
          </w:p>
          <w:p w14:paraId="24CF159F" w14:textId="5C8CFA5A" w:rsidR="00471749" w:rsidRPr="000F382E" w:rsidRDefault="00046BF0" w:rsidP="001776BA">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Special Needs teachers</w:t>
            </w:r>
          </w:p>
        </w:tc>
        <w:tc>
          <w:tcPr>
            <w:tcW w:w="813" w:type="pct"/>
            <w:tcBorders>
              <w:top w:val="single" w:sz="8" w:space="0" w:color="CCCCCC"/>
              <w:left w:val="single" w:sz="8" w:space="0" w:color="0000FF"/>
              <w:bottom w:val="single" w:sz="8" w:space="0" w:color="0000FF"/>
              <w:right w:val="single" w:sz="8" w:space="0" w:color="0000FF"/>
            </w:tcBorders>
            <w:tcMar>
              <w:top w:w="100" w:type="dxa"/>
              <w:left w:w="100" w:type="dxa"/>
              <w:bottom w:w="100" w:type="dxa"/>
              <w:right w:w="100" w:type="dxa"/>
            </w:tcMar>
            <w:hideMark/>
          </w:tcPr>
          <w:p w14:paraId="44DC0556" w14:textId="77777777" w:rsidR="00471749" w:rsidRPr="000F382E" w:rsidRDefault="00471749" w:rsidP="00A83E62">
            <w:pPr>
              <w:rPr>
                <w:rFonts w:ascii="Arial" w:hAnsi="Arial" w:cs="Arial"/>
                <w:sz w:val="20"/>
                <w:szCs w:val="20"/>
              </w:rPr>
            </w:pPr>
            <w:r w:rsidRPr="000F382E">
              <w:rPr>
                <w:rFonts w:ascii="Arial" w:hAnsi="Arial" w:cs="Arial"/>
                <w:sz w:val="20"/>
                <w:szCs w:val="20"/>
              </w:rPr>
              <w:t>May 2018</w:t>
            </w:r>
          </w:p>
          <w:p w14:paraId="377D4B88" w14:textId="276D2683" w:rsidR="00471749" w:rsidRPr="000F382E" w:rsidRDefault="00471749" w:rsidP="00A83E62">
            <w:pPr>
              <w:rPr>
                <w:rFonts w:ascii="Arial" w:hAnsi="Arial" w:cs="Arial"/>
                <w:sz w:val="20"/>
                <w:szCs w:val="20"/>
              </w:rPr>
            </w:pPr>
          </w:p>
        </w:tc>
        <w:tc>
          <w:tcPr>
            <w:tcW w:w="2172" w:type="pct"/>
            <w:gridSpan w:val="2"/>
            <w:tcBorders>
              <w:top w:val="single" w:sz="8" w:space="0" w:color="CCCCCC"/>
              <w:left w:val="single" w:sz="8" w:space="0" w:color="0000FF"/>
              <w:bottom w:val="single" w:sz="8" w:space="0" w:color="0000FF"/>
              <w:right w:val="single" w:sz="8" w:space="0" w:color="0000FF"/>
            </w:tcBorders>
            <w:tcMar>
              <w:top w:w="100" w:type="dxa"/>
              <w:left w:w="100" w:type="dxa"/>
              <w:bottom w:w="100" w:type="dxa"/>
              <w:right w:w="100" w:type="dxa"/>
            </w:tcMar>
            <w:hideMark/>
          </w:tcPr>
          <w:p w14:paraId="3B0782BC" w14:textId="06602400"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 xml:space="preserve">Divide </w:t>
            </w:r>
            <w:r w:rsidR="00D5046F" w:rsidRPr="000F382E">
              <w:rPr>
                <w:rFonts w:ascii="Arial" w:hAnsi="Arial" w:cs="Arial"/>
                <w:color w:val="000000"/>
                <w:sz w:val="20"/>
                <w:szCs w:val="20"/>
              </w:rPr>
              <w:t xml:space="preserve">students into five categories: </w:t>
            </w:r>
            <w:r w:rsidRPr="000F382E">
              <w:rPr>
                <w:rFonts w:ascii="Arial" w:hAnsi="Arial" w:cs="Arial"/>
                <w:color w:val="000000"/>
                <w:sz w:val="20"/>
                <w:szCs w:val="20"/>
              </w:rPr>
              <w:t xml:space="preserve">High Achieving, Above-Average Achieving, Average Achieving, Low-Average Achieving, </w:t>
            </w:r>
            <w:proofErr w:type="gramStart"/>
            <w:r w:rsidRPr="000F382E">
              <w:rPr>
                <w:rFonts w:ascii="Arial" w:hAnsi="Arial" w:cs="Arial"/>
                <w:color w:val="000000"/>
                <w:sz w:val="20"/>
                <w:szCs w:val="20"/>
              </w:rPr>
              <w:t>Low</w:t>
            </w:r>
            <w:proofErr w:type="gramEnd"/>
            <w:r w:rsidRPr="000F382E">
              <w:rPr>
                <w:rFonts w:ascii="Arial" w:hAnsi="Arial" w:cs="Arial"/>
                <w:color w:val="000000"/>
                <w:sz w:val="20"/>
                <w:szCs w:val="20"/>
              </w:rPr>
              <w:t xml:space="preserve"> Achieving.</w:t>
            </w:r>
          </w:p>
          <w:p w14:paraId="2A2F2790"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 xml:space="preserve">Place High Achieving students in </w:t>
            </w:r>
            <w:proofErr w:type="gramStart"/>
            <w:r w:rsidRPr="000F382E">
              <w:rPr>
                <w:rFonts w:ascii="Arial" w:hAnsi="Arial" w:cs="Arial"/>
                <w:color w:val="000000"/>
                <w:sz w:val="20"/>
                <w:szCs w:val="20"/>
              </w:rPr>
              <w:t>one classroom</w:t>
            </w:r>
            <w:proofErr w:type="gramEnd"/>
            <w:r w:rsidRPr="000F382E">
              <w:rPr>
                <w:rFonts w:ascii="Arial" w:hAnsi="Arial" w:cs="Arial"/>
                <w:color w:val="000000"/>
                <w:sz w:val="20"/>
                <w:szCs w:val="20"/>
              </w:rPr>
              <w:t xml:space="preserve"> and Above-Average Achieving students in other classrooms.</w:t>
            </w:r>
          </w:p>
          <w:p w14:paraId="6E0D7ACE"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Reduce the ranges of achievement levels by not placing every level in each classroom.</w:t>
            </w:r>
          </w:p>
          <w:p w14:paraId="162D1338"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Avoid placing the cluster of Low-Achieving students in the classroom with the High Achieving cluster. (too wide of a range)</w:t>
            </w:r>
          </w:p>
          <w:p w14:paraId="5A4711DA"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Ensure that each teacher has about the same number of students who achieve at average or above.</w:t>
            </w:r>
          </w:p>
          <w:p w14:paraId="7384AF1C"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Cluster students needing special services in classrooms with resource personnel assistance. Twice-exceptional students should be included in the gifted cluster.</w:t>
            </w:r>
          </w:p>
          <w:p w14:paraId="443EB9FC"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Evenly distribute students with behavior problems among all classrooms.</w:t>
            </w:r>
          </w:p>
          <w:p w14:paraId="3571D948"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 xml:space="preserve">Conduct a quick assessment of reading and math skills when new students enroll.  Place new students tentatively into classrooms until records arrive and student performance </w:t>
            </w:r>
            <w:proofErr w:type="gramStart"/>
            <w:r w:rsidRPr="000F382E">
              <w:rPr>
                <w:rFonts w:ascii="Arial" w:hAnsi="Arial" w:cs="Arial"/>
                <w:color w:val="000000"/>
                <w:sz w:val="20"/>
                <w:szCs w:val="20"/>
              </w:rPr>
              <w:t>can be more fully assessed</w:t>
            </w:r>
            <w:proofErr w:type="gramEnd"/>
            <w:r w:rsidRPr="000F382E">
              <w:rPr>
                <w:rFonts w:ascii="Arial" w:hAnsi="Arial" w:cs="Arial"/>
                <w:color w:val="000000"/>
                <w:sz w:val="20"/>
                <w:szCs w:val="20"/>
              </w:rPr>
              <w:t>.</w:t>
            </w:r>
          </w:p>
          <w:p w14:paraId="0DAEB158" w14:textId="6BA965BD" w:rsidR="00471749"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lastRenderedPageBreak/>
              <w:t xml:space="preserve">Ideal cluster classroom configurations are explained in </w:t>
            </w:r>
            <w:r w:rsidRPr="000F382E">
              <w:rPr>
                <w:rFonts w:ascii="Arial" w:hAnsi="Arial" w:cs="Arial"/>
                <w:i/>
                <w:color w:val="000000"/>
                <w:sz w:val="20"/>
                <w:szCs w:val="20"/>
              </w:rPr>
              <w:t>Total School Cluster Grouping &amp; Differentiation</w:t>
            </w:r>
            <w:r w:rsidRPr="000F382E">
              <w:rPr>
                <w:rFonts w:ascii="Arial" w:hAnsi="Arial" w:cs="Arial"/>
                <w:color w:val="000000"/>
                <w:sz w:val="20"/>
                <w:szCs w:val="20"/>
              </w:rPr>
              <w:t xml:space="preserve"> by Marcia Gentry (Chapter 2)</w:t>
            </w:r>
          </w:p>
        </w:tc>
      </w:tr>
      <w:tr w:rsidR="00046BF0" w:rsidRPr="000F382E" w14:paraId="6531EAC9" w14:textId="77777777" w:rsidTr="00046BF0">
        <w:trPr>
          <w:gridAfter w:val="1"/>
          <w:wAfter w:w="6" w:type="pct"/>
        </w:trPr>
        <w:tc>
          <w:tcPr>
            <w:tcW w:w="1126" w:type="pct"/>
            <w:tcBorders>
              <w:top w:val="single" w:sz="8" w:space="0" w:color="CCCCCC"/>
              <w:left w:val="single" w:sz="8" w:space="0" w:color="0000FF"/>
              <w:bottom w:val="single" w:sz="8" w:space="0" w:color="0000FF"/>
              <w:right w:val="single" w:sz="8" w:space="0" w:color="0000FF"/>
            </w:tcBorders>
            <w:tcMar>
              <w:top w:w="100" w:type="dxa"/>
              <w:left w:w="100" w:type="dxa"/>
              <w:bottom w:w="100" w:type="dxa"/>
              <w:right w:w="100" w:type="dxa"/>
            </w:tcMar>
          </w:tcPr>
          <w:p w14:paraId="3F7B515D" w14:textId="038CE3F2" w:rsidR="00046BF0" w:rsidRPr="000F382E" w:rsidRDefault="00046BF0" w:rsidP="00046BF0">
            <w:pPr>
              <w:rPr>
                <w:rFonts w:ascii="Arial" w:eastAsia="Times New Roman" w:hAnsi="Arial" w:cs="Arial"/>
                <w:sz w:val="20"/>
                <w:szCs w:val="20"/>
              </w:rPr>
            </w:pPr>
            <w:r w:rsidRPr="000F382E">
              <w:rPr>
                <w:rFonts w:ascii="Arial" w:hAnsi="Arial" w:cs="Arial"/>
                <w:color w:val="000000"/>
                <w:sz w:val="20"/>
                <w:szCs w:val="20"/>
              </w:rPr>
              <w:lastRenderedPageBreak/>
              <w:t>Select cluster group teachers</w:t>
            </w:r>
            <w:r w:rsidRPr="000F382E">
              <w:rPr>
                <w:rFonts w:ascii="Arial" w:eastAsia="Times New Roman" w:hAnsi="Arial" w:cs="Arial"/>
                <w:sz w:val="20"/>
                <w:szCs w:val="20"/>
              </w:rPr>
              <w:t xml:space="preserve"> </w:t>
            </w:r>
          </w:p>
        </w:tc>
        <w:tc>
          <w:tcPr>
            <w:tcW w:w="883" w:type="pct"/>
            <w:tcBorders>
              <w:top w:val="single" w:sz="8" w:space="0" w:color="CCCCCC"/>
              <w:left w:val="single" w:sz="8" w:space="0" w:color="0000FF"/>
              <w:bottom w:val="single" w:sz="8" w:space="0" w:color="0000FF"/>
              <w:right w:val="single" w:sz="8" w:space="0" w:color="0000FF"/>
            </w:tcBorders>
            <w:tcMar>
              <w:top w:w="100" w:type="dxa"/>
              <w:left w:w="100" w:type="dxa"/>
              <w:bottom w:w="100" w:type="dxa"/>
              <w:right w:w="100" w:type="dxa"/>
            </w:tcMar>
          </w:tcPr>
          <w:p w14:paraId="6BDD2978"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Principal</w:t>
            </w:r>
          </w:p>
          <w:p w14:paraId="1962D448"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GT leads</w:t>
            </w:r>
          </w:p>
          <w:p w14:paraId="78ED43BC" w14:textId="4F116253" w:rsidR="00046BF0" w:rsidRPr="000F382E" w:rsidRDefault="00046BF0" w:rsidP="00046BF0">
            <w:pPr>
              <w:ind w:left="465"/>
              <w:textAlignment w:val="baseline"/>
              <w:rPr>
                <w:rFonts w:ascii="Arial" w:hAnsi="Arial" w:cs="Arial"/>
                <w:color w:val="000000"/>
                <w:sz w:val="20"/>
                <w:szCs w:val="20"/>
              </w:rPr>
            </w:pPr>
          </w:p>
        </w:tc>
        <w:tc>
          <w:tcPr>
            <w:tcW w:w="813" w:type="pct"/>
            <w:tcBorders>
              <w:top w:val="single" w:sz="8" w:space="0" w:color="CCCCCC"/>
              <w:left w:val="single" w:sz="8" w:space="0" w:color="0000FF"/>
              <w:bottom w:val="single" w:sz="8" w:space="0" w:color="0000FF"/>
              <w:right w:val="single" w:sz="8" w:space="0" w:color="0000FF"/>
            </w:tcBorders>
            <w:tcMar>
              <w:top w:w="100" w:type="dxa"/>
              <w:left w:w="100" w:type="dxa"/>
              <w:bottom w:w="100" w:type="dxa"/>
              <w:right w:w="100" w:type="dxa"/>
            </w:tcMar>
          </w:tcPr>
          <w:p w14:paraId="5BE8B111" w14:textId="77777777" w:rsidR="00046BF0" w:rsidRPr="000F382E" w:rsidRDefault="00046BF0" w:rsidP="00046BF0">
            <w:pPr>
              <w:rPr>
                <w:rFonts w:ascii="Arial" w:hAnsi="Arial" w:cs="Arial"/>
                <w:sz w:val="20"/>
                <w:szCs w:val="20"/>
              </w:rPr>
            </w:pPr>
            <w:r w:rsidRPr="000F382E">
              <w:rPr>
                <w:rFonts w:ascii="Arial" w:hAnsi="Arial" w:cs="Arial"/>
                <w:sz w:val="20"/>
                <w:szCs w:val="20"/>
              </w:rPr>
              <w:t>May 2018</w:t>
            </w:r>
          </w:p>
          <w:p w14:paraId="414C732A" w14:textId="68F5F8D2" w:rsidR="00046BF0" w:rsidRPr="000F382E" w:rsidRDefault="00046BF0" w:rsidP="00046BF0">
            <w:pPr>
              <w:rPr>
                <w:rFonts w:ascii="Arial" w:hAnsi="Arial" w:cs="Arial"/>
                <w:sz w:val="20"/>
                <w:szCs w:val="20"/>
              </w:rPr>
            </w:pPr>
          </w:p>
        </w:tc>
        <w:tc>
          <w:tcPr>
            <w:tcW w:w="2172" w:type="pct"/>
            <w:gridSpan w:val="2"/>
            <w:tcBorders>
              <w:top w:val="single" w:sz="8" w:space="0" w:color="CCCCCC"/>
              <w:left w:val="single" w:sz="8" w:space="0" w:color="0000FF"/>
              <w:bottom w:val="single" w:sz="8" w:space="0" w:color="0000FF"/>
              <w:right w:val="single" w:sz="8" w:space="0" w:color="0000FF"/>
            </w:tcBorders>
            <w:tcMar>
              <w:top w:w="100" w:type="dxa"/>
              <w:left w:w="100" w:type="dxa"/>
              <w:bottom w:w="100" w:type="dxa"/>
              <w:right w:w="100" w:type="dxa"/>
            </w:tcMar>
          </w:tcPr>
          <w:p w14:paraId="0AEC6230" w14:textId="77777777" w:rsidR="00046BF0" w:rsidRPr="000F382E" w:rsidRDefault="00046BF0" w:rsidP="00046BF0">
            <w:pPr>
              <w:numPr>
                <w:ilvl w:val="0"/>
                <w:numId w:val="4"/>
              </w:numPr>
              <w:ind w:left="465"/>
              <w:textAlignment w:val="baseline"/>
              <w:rPr>
                <w:rFonts w:ascii="Arial" w:hAnsi="Arial" w:cs="Arial"/>
                <w:color w:val="000000"/>
                <w:sz w:val="20"/>
                <w:szCs w:val="20"/>
              </w:rPr>
            </w:pPr>
            <w:r w:rsidRPr="000F382E">
              <w:rPr>
                <w:rFonts w:ascii="Arial" w:hAnsi="Arial" w:cs="Arial"/>
                <w:color w:val="000000"/>
                <w:sz w:val="20"/>
                <w:szCs w:val="20"/>
              </w:rPr>
              <w:t xml:space="preserve">Match teacher strengths with clusters.  </w:t>
            </w:r>
          </w:p>
          <w:p w14:paraId="297F7BC5" w14:textId="77777777" w:rsidR="00046BF0" w:rsidRPr="000F382E" w:rsidRDefault="00046BF0" w:rsidP="00046BF0">
            <w:pPr>
              <w:numPr>
                <w:ilvl w:val="0"/>
                <w:numId w:val="4"/>
              </w:numPr>
              <w:ind w:left="465"/>
              <w:textAlignment w:val="baseline"/>
              <w:rPr>
                <w:rFonts w:ascii="Arial" w:hAnsi="Arial" w:cs="Arial"/>
                <w:color w:val="000000"/>
                <w:sz w:val="20"/>
                <w:szCs w:val="20"/>
              </w:rPr>
            </w:pPr>
            <w:r w:rsidRPr="000F382E">
              <w:rPr>
                <w:rFonts w:ascii="Arial" w:hAnsi="Arial" w:cs="Arial"/>
                <w:color w:val="000000"/>
                <w:sz w:val="20"/>
                <w:szCs w:val="20"/>
              </w:rPr>
              <w:t>High Achieving cluster teachers must want to teach the cluster and be willing to receive specialized training on differentiation and gifted education.</w:t>
            </w:r>
          </w:p>
          <w:p w14:paraId="4C8A0014" w14:textId="384E6E92" w:rsidR="00046BF0" w:rsidRPr="003C4E23" w:rsidRDefault="00046BF0" w:rsidP="00046BF0">
            <w:pPr>
              <w:numPr>
                <w:ilvl w:val="0"/>
                <w:numId w:val="4"/>
              </w:numPr>
              <w:ind w:left="465"/>
              <w:textAlignment w:val="baseline"/>
              <w:rPr>
                <w:rFonts w:ascii="Arial" w:hAnsi="Arial" w:cs="Arial"/>
                <w:color w:val="000000"/>
                <w:sz w:val="20"/>
                <w:szCs w:val="20"/>
              </w:rPr>
            </w:pPr>
            <w:r w:rsidRPr="000F382E">
              <w:rPr>
                <w:rFonts w:ascii="Arial" w:hAnsi="Arial" w:cs="Arial"/>
                <w:color w:val="000000"/>
                <w:sz w:val="20"/>
                <w:szCs w:val="20"/>
              </w:rPr>
              <w:t>Trained cluster teachers should continue as the cluster teacher in their grade for a</w:t>
            </w:r>
            <w:r w:rsidRPr="000F382E">
              <w:rPr>
                <w:rFonts w:ascii="Arial" w:hAnsi="Arial" w:cs="Arial"/>
                <w:color w:val="000000"/>
                <w:sz w:val="20"/>
                <w:szCs w:val="20"/>
              </w:rPr>
              <w:t>t</w:t>
            </w:r>
            <w:r w:rsidR="003C4E23">
              <w:rPr>
                <w:rFonts w:ascii="Arial" w:hAnsi="Arial" w:cs="Arial"/>
                <w:color w:val="000000"/>
                <w:sz w:val="20"/>
                <w:szCs w:val="20"/>
              </w:rPr>
              <w:t xml:space="preserve"> least three years. </w:t>
            </w:r>
            <w:r w:rsidRPr="000F382E">
              <w:rPr>
                <w:rFonts w:ascii="Arial" w:hAnsi="Arial" w:cs="Arial"/>
                <w:color w:val="000000"/>
                <w:sz w:val="20"/>
                <w:szCs w:val="20"/>
              </w:rPr>
              <w:t xml:space="preserve">Teachers </w:t>
            </w:r>
            <w:proofErr w:type="gramStart"/>
            <w:r w:rsidRPr="000F382E">
              <w:rPr>
                <w:rFonts w:ascii="Arial" w:hAnsi="Arial" w:cs="Arial"/>
                <w:color w:val="000000"/>
                <w:sz w:val="20"/>
                <w:szCs w:val="20"/>
              </w:rPr>
              <w:t>must be allowed</w:t>
            </w:r>
            <w:proofErr w:type="gramEnd"/>
            <w:r w:rsidRPr="000F382E">
              <w:rPr>
                <w:rFonts w:ascii="Arial" w:hAnsi="Arial" w:cs="Arial"/>
                <w:color w:val="000000"/>
                <w:sz w:val="20"/>
                <w:szCs w:val="20"/>
              </w:rPr>
              <w:t xml:space="preserve"> to hone their craft.</w:t>
            </w:r>
          </w:p>
        </w:tc>
      </w:tr>
      <w:tr w:rsidR="00046BF0" w:rsidRPr="000F382E" w14:paraId="28393142" w14:textId="77777777" w:rsidTr="00046BF0">
        <w:trPr>
          <w:gridAfter w:val="1"/>
          <w:wAfter w:w="6" w:type="pct"/>
        </w:trPr>
        <w:tc>
          <w:tcPr>
            <w:tcW w:w="1126"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hideMark/>
          </w:tcPr>
          <w:p w14:paraId="12270A6A" w14:textId="7957BC3C" w:rsidR="00046BF0" w:rsidRPr="000F382E" w:rsidRDefault="00046BF0" w:rsidP="00046BF0">
            <w:pPr>
              <w:rPr>
                <w:rFonts w:ascii="Arial" w:hAnsi="Arial" w:cs="Arial"/>
                <w:sz w:val="20"/>
                <w:szCs w:val="20"/>
              </w:rPr>
            </w:pPr>
            <w:r w:rsidRPr="000F382E">
              <w:rPr>
                <w:rFonts w:ascii="Arial" w:hAnsi="Arial" w:cs="Arial"/>
                <w:color w:val="000000"/>
                <w:sz w:val="20"/>
                <w:szCs w:val="20"/>
              </w:rPr>
              <w:t>Provide on-going training for cluster group teachers</w:t>
            </w:r>
            <w:r w:rsidRPr="000F382E">
              <w:rPr>
                <w:rFonts w:ascii="Arial" w:hAnsi="Arial" w:cs="Arial"/>
                <w:sz w:val="20"/>
                <w:szCs w:val="20"/>
              </w:rPr>
              <w:t xml:space="preserve"> </w:t>
            </w:r>
          </w:p>
        </w:tc>
        <w:tc>
          <w:tcPr>
            <w:tcW w:w="883"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hideMark/>
          </w:tcPr>
          <w:p w14:paraId="2C0E0428"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GT leads</w:t>
            </w:r>
          </w:p>
          <w:p w14:paraId="51F4A44D" w14:textId="4F8B3F73"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Experienced Project RAP Teachers</w:t>
            </w:r>
            <w:r w:rsidRPr="000F382E">
              <w:rPr>
                <w:rFonts w:ascii="Arial" w:hAnsi="Arial" w:cs="Arial"/>
                <w:sz w:val="20"/>
                <w:szCs w:val="20"/>
              </w:rPr>
              <w:t xml:space="preserve"> </w:t>
            </w:r>
          </w:p>
        </w:tc>
        <w:tc>
          <w:tcPr>
            <w:tcW w:w="813"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hideMark/>
          </w:tcPr>
          <w:p w14:paraId="314FFFAE" w14:textId="28B5FCF0" w:rsidR="00046BF0" w:rsidRPr="000F382E" w:rsidRDefault="00046BF0" w:rsidP="00046BF0">
            <w:pPr>
              <w:rPr>
                <w:rFonts w:ascii="Arial" w:hAnsi="Arial" w:cs="Arial"/>
                <w:sz w:val="20"/>
                <w:szCs w:val="20"/>
              </w:rPr>
            </w:pPr>
            <w:r w:rsidRPr="000F382E">
              <w:rPr>
                <w:rFonts w:ascii="Arial" w:hAnsi="Arial" w:cs="Arial"/>
                <w:color w:val="000000"/>
                <w:sz w:val="20"/>
                <w:szCs w:val="20"/>
              </w:rPr>
              <w:t>July 2018-May</w:t>
            </w:r>
            <w:r w:rsidRPr="000F382E">
              <w:rPr>
                <w:rFonts w:ascii="Arial" w:hAnsi="Arial" w:cs="Arial"/>
                <w:color w:val="000000"/>
                <w:sz w:val="20"/>
                <w:szCs w:val="20"/>
              </w:rPr>
              <w:t xml:space="preserve"> 2019</w:t>
            </w:r>
          </w:p>
        </w:tc>
        <w:tc>
          <w:tcPr>
            <w:tcW w:w="2172" w:type="pct"/>
            <w:gridSpan w:val="2"/>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hideMark/>
          </w:tcPr>
          <w:p w14:paraId="0A2F0933" w14:textId="2B169D44" w:rsidR="00046BF0" w:rsidRPr="000F382E" w:rsidRDefault="00046BF0" w:rsidP="00046BF0">
            <w:pPr>
              <w:numPr>
                <w:ilvl w:val="0"/>
                <w:numId w:val="5"/>
              </w:numPr>
              <w:ind w:left="465"/>
              <w:textAlignment w:val="baseline"/>
              <w:rPr>
                <w:rFonts w:ascii="Arial" w:hAnsi="Arial" w:cs="Arial"/>
                <w:color w:val="000000"/>
                <w:sz w:val="20"/>
                <w:szCs w:val="20"/>
              </w:rPr>
            </w:pPr>
            <w:r w:rsidRPr="000F382E">
              <w:rPr>
                <w:rFonts w:ascii="Arial" w:hAnsi="Arial" w:cs="Arial"/>
                <w:color w:val="000000"/>
                <w:sz w:val="20"/>
                <w:szCs w:val="20"/>
              </w:rPr>
              <w:t>Different</w:t>
            </w:r>
            <w:r w:rsidRPr="000F382E">
              <w:rPr>
                <w:rFonts w:ascii="Arial" w:hAnsi="Arial" w:cs="Arial"/>
                <w:color w:val="000000"/>
                <w:sz w:val="20"/>
                <w:szCs w:val="20"/>
              </w:rPr>
              <w:t>i</w:t>
            </w:r>
            <w:r w:rsidRPr="000F382E">
              <w:rPr>
                <w:rFonts w:ascii="Arial" w:hAnsi="Arial" w:cs="Arial"/>
                <w:color w:val="000000"/>
                <w:sz w:val="20"/>
                <w:szCs w:val="20"/>
              </w:rPr>
              <w:t xml:space="preserve">ated professional development </w:t>
            </w:r>
            <w:proofErr w:type="gramStart"/>
            <w:r w:rsidRPr="000F382E">
              <w:rPr>
                <w:rFonts w:ascii="Arial" w:hAnsi="Arial" w:cs="Arial"/>
                <w:color w:val="000000"/>
                <w:sz w:val="20"/>
                <w:szCs w:val="20"/>
              </w:rPr>
              <w:t>should be provided</w:t>
            </w:r>
            <w:proofErr w:type="gramEnd"/>
            <w:r w:rsidRPr="000F382E">
              <w:rPr>
                <w:rFonts w:ascii="Arial" w:hAnsi="Arial" w:cs="Arial"/>
                <w:color w:val="000000"/>
                <w:sz w:val="20"/>
                <w:szCs w:val="20"/>
              </w:rPr>
              <w:t xml:space="preserve"> based on teacher needs.</w:t>
            </w:r>
          </w:p>
          <w:p w14:paraId="4980B14F" w14:textId="31086BA6" w:rsidR="00046BF0" w:rsidRPr="000F382E" w:rsidRDefault="00046BF0" w:rsidP="00046BF0">
            <w:pPr>
              <w:numPr>
                <w:ilvl w:val="0"/>
                <w:numId w:val="5"/>
              </w:numPr>
              <w:ind w:left="465"/>
              <w:textAlignment w:val="baseline"/>
              <w:rPr>
                <w:rFonts w:ascii="Arial" w:hAnsi="Arial" w:cs="Arial"/>
                <w:color w:val="000000"/>
                <w:sz w:val="20"/>
                <w:szCs w:val="20"/>
              </w:rPr>
            </w:pPr>
            <w:r w:rsidRPr="000F382E">
              <w:rPr>
                <w:rFonts w:ascii="Arial" w:hAnsi="Arial" w:cs="Arial"/>
                <w:color w:val="000000"/>
                <w:sz w:val="20"/>
                <w:szCs w:val="20"/>
              </w:rPr>
              <w:t>Provide in</w:t>
            </w:r>
            <w:r w:rsidRPr="000F382E">
              <w:rPr>
                <w:rFonts w:ascii="Arial" w:hAnsi="Arial" w:cs="Arial"/>
                <w:color w:val="000000"/>
                <w:sz w:val="20"/>
                <w:szCs w:val="20"/>
              </w:rPr>
              <w:t>it</w:t>
            </w:r>
            <w:r w:rsidRPr="000F382E">
              <w:rPr>
                <w:rFonts w:ascii="Arial" w:hAnsi="Arial" w:cs="Arial"/>
                <w:color w:val="000000"/>
                <w:sz w:val="20"/>
                <w:szCs w:val="20"/>
              </w:rPr>
              <w:t>ial training on the basics of talent d</w:t>
            </w:r>
            <w:r w:rsidRPr="000F382E">
              <w:rPr>
                <w:rFonts w:ascii="Arial" w:hAnsi="Arial" w:cs="Arial"/>
                <w:color w:val="000000"/>
                <w:sz w:val="20"/>
                <w:szCs w:val="20"/>
              </w:rPr>
              <w:t xml:space="preserve">evelopment, excellence gaps, </w:t>
            </w:r>
            <w:proofErr w:type="gramStart"/>
            <w:r w:rsidRPr="000F382E">
              <w:rPr>
                <w:rFonts w:ascii="Arial" w:hAnsi="Arial" w:cs="Arial"/>
                <w:color w:val="000000"/>
                <w:sz w:val="20"/>
                <w:szCs w:val="20"/>
              </w:rPr>
              <w:t>di</w:t>
            </w:r>
            <w:r w:rsidRPr="000F382E">
              <w:rPr>
                <w:rFonts w:ascii="Arial" w:hAnsi="Arial" w:cs="Arial"/>
                <w:color w:val="000000"/>
                <w:sz w:val="20"/>
                <w:szCs w:val="20"/>
              </w:rPr>
              <w:t>fferentiation</w:t>
            </w:r>
            <w:proofErr w:type="gramEnd"/>
            <w:r w:rsidRPr="000F382E">
              <w:rPr>
                <w:rFonts w:ascii="Arial" w:hAnsi="Arial" w:cs="Arial"/>
                <w:color w:val="000000"/>
                <w:sz w:val="20"/>
                <w:szCs w:val="20"/>
              </w:rPr>
              <w:t>, cluster-grouping and gifted education for new cluster teachers.</w:t>
            </w:r>
          </w:p>
          <w:p w14:paraId="1D32281A" w14:textId="0811630F" w:rsidR="00046BF0" w:rsidRPr="003C4E23" w:rsidRDefault="00046BF0" w:rsidP="003C4E23">
            <w:pPr>
              <w:numPr>
                <w:ilvl w:val="0"/>
                <w:numId w:val="5"/>
              </w:numPr>
              <w:ind w:left="465"/>
              <w:textAlignment w:val="baseline"/>
              <w:rPr>
                <w:rFonts w:ascii="Arial" w:hAnsi="Arial" w:cs="Arial"/>
                <w:color w:val="000000"/>
                <w:sz w:val="20"/>
                <w:szCs w:val="20"/>
              </w:rPr>
            </w:pPr>
            <w:r w:rsidRPr="000F382E">
              <w:rPr>
                <w:rFonts w:ascii="Arial" w:hAnsi="Arial" w:cs="Arial"/>
                <w:color w:val="000000"/>
                <w:sz w:val="20"/>
                <w:szCs w:val="20"/>
              </w:rPr>
              <w:t>Provide follow-up training based on issues of concern for experienced cluster teachers.</w:t>
            </w:r>
          </w:p>
        </w:tc>
      </w:tr>
      <w:tr w:rsidR="00046BF0" w:rsidRPr="000F382E" w14:paraId="237E5B4B" w14:textId="77777777" w:rsidTr="00046BF0">
        <w:trPr>
          <w:gridAfter w:val="1"/>
          <w:wAfter w:w="6" w:type="pct"/>
        </w:trPr>
        <w:tc>
          <w:tcPr>
            <w:tcW w:w="1126"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6B167898" w14:textId="3B559553" w:rsidR="00046BF0" w:rsidRPr="000F382E" w:rsidRDefault="00046BF0" w:rsidP="00046BF0">
            <w:pPr>
              <w:rPr>
                <w:rFonts w:ascii="Arial" w:hAnsi="Arial" w:cs="Arial"/>
                <w:sz w:val="20"/>
                <w:szCs w:val="20"/>
              </w:rPr>
            </w:pPr>
            <w:r w:rsidRPr="000F382E">
              <w:rPr>
                <w:rFonts w:ascii="Arial" w:hAnsi="Arial" w:cs="Arial"/>
                <w:color w:val="000000"/>
                <w:sz w:val="20"/>
                <w:szCs w:val="20"/>
              </w:rPr>
              <w:t>Communicate with all stakeholders about excellence gaps, the need for talent development, cluster grouping, and differentiation.</w:t>
            </w:r>
          </w:p>
        </w:tc>
        <w:tc>
          <w:tcPr>
            <w:tcW w:w="883"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054DE4C8" w14:textId="13C20A9E"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Principal</w:t>
            </w:r>
          </w:p>
          <w:p w14:paraId="7C5FB1D3" w14:textId="7777777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GT leads</w:t>
            </w:r>
          </w:p>
          <w:p w14:paraId="581D5993" w14:textId="0532792F"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Experienced Project RAP Teachers</w:t>
            </w:r>
            <w:r w:rsidRPr="000F382E">
              <w:rPr>
                <w:rFonts w:ascii="Arial" w:hAnsi="Arial" w:cs="Arial"/>
                <w:sz w:val="20"/>
                <w:szCs w:val="20"/>
              </w:rPr>
              <w:t xml:space="preserve"> </w:t>
            </w:r>
          </w:p>
        </w:tc>
        <w:tc>
          <w:tcPr>
            <w:tcW w:w="813"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79024E11" w14:textId="5B0EB0F6" w:rsidR="00046BF0" w:rsidRPr="000F382E" w:rsidRDefault="00046BF0" w:rsidP="00046BF0">
            <w:pPr>
              <w:rPr>
                <w:rFonts w:ascii="Arial" w:hAnsi="Arial" w:cs="Arial"/>
                <w:sz w:val="20"/>
                <w:szCs w:val="20"/>
              </w:rPr>
            </w:pPr>
            <w:r w:rsidRPr="000F382E">
              <w:rPr>
                <w:rFonts w:ascii="Arial" w:hAnsi="Arial" w:cs="Arial"/>
                <w:sz w:val="20"/>
                <w:szCs w:val="20"/>
              </w:rPr>
              <w:t>May</w:t>
            </w:r>
            <w:r w:rsidRPr="000F382E">
              <w:rPr>
                <w:rFonts w:ascii="Arial" w:hAnsi="Arial" w:cs="Arial"/>
                <w:sz w:val="20"/>
                <w:szCs w:val="20"/>
              </w:rPr>
              <w:t xml:space="preserve"> </w:t>
            </w:r>
            <w:r w:rsidRPr="000F382E">
              <w:rPr>
                <w:rFonts w:ascii="Arial" w:hAnsi="Arial" w:cs="Arial"/>
                <w:sz w:val="20"/>
                <w:szCs w:val="20"/>
              </w:rPr>
              <w:t>2018-May</w:t>
            </w:r>
            <w:r w:rsidRPr="000F382E">
              <w:rPr>
                <w:rFonts w:ascii="Arial" w:hAnsi="Arial" w:cs="Arial"/>
                <w:sz w:val="20"/>
                <w:szCs w:val="20"/>
              </w:rPr>
              <w:t xml:space="preserve"> 2019</w:t>
            </w:r>
          </w:p>
        </w:tc>
        <w:tc>
          <w:tcPr>
            <w:tcW w:w="2172" w:type="pct"/>
            <w:gridSpan w:val="2"/>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2B861529" w14:textId="77777777" w:rsidR="00046BF0" w:rsidRPr="000F382E" w:rsidRDefault="00046BF0" w:rsidP="00046BF0">
            <w:pPr>
              <w:numPr>
                <w:ilvl w:val="0"/>
                <w:numId w:val="6"/>
              </w:numPr>
              <w:ind w:left="465"/>
              <w:textAlignment w:val="baseline"/>
              <w:rPr>
                <w:rFonts w:ascii="Arial" w:hAnsi="Arial" w:cs="Arial"/>
                <w:color w:val="000000"/>
                <w:sz w:val="20"/>
                <w:szCs w:val="20"/>
              </w:rPr>
            </w:pPr>
            <w:r w:rsidRPr="000F382E">
              <w:rPr>
                <w:rFonts w:ascii="Arial" w:hAnsi="Arial" w:cs="Arial"/>
                <w:color w:val="000000"/>
                <w:sz w:val="20"/>
                <w:szCs w:val="20"/>
              </w:rPr>
              <w:t>Use excellence gap videos and pamphlets created during Project RAP</w:t>
            </w:r>
          </w:p>
          <w:p w14:paraId="51E69146" w14:textId="77777777" w:rsidR="00046BF0" w:rsidRPr="000F382E" w:rsidRDefault="00046BF0" w:rsidP="00046BF0">
            <w:pPr>
              <w:numPr>
                <w:ilvl w:val="0"/>
                <w:numId w:val="6"/>
              </w:numPr>
              <w:ind w:left="465"/>
              <w:textAlignment w:val="baseline"/>
              <w:rPr>
                <w:rFonts w:ascii="Arial" w:hAnsi="Arial" w:cs="Arial"/>
                <w:color w:val="000000"/>
                <w:sz w:val="20"/>
                <w:szCs w:val="20"/>
              </w:rPr>
            </w:pPr>
            <w:r w:rsidRPr="000F382E">
              <w:rPr>
                <w:rFonts w:ascii="Arial" w:hAnsi="Arial" w:cs="Arial"/>
                <w:color w:val="000000"/>
                <w:sz w:val="20"/>
                <w:szCs w:val="20"/>
              </w:rPr>
              <w:t>Share Project RAP successes in staff meetings</w:t>
            </w:r>
          </w:p>
          <w:p w14:paraId="155FF9EE" w14:textId="77777777" w:rsidR="00046BF0" w:rsidRPr="000F382E" w:rsidRDefault="00046BF0" w:rsidP="00046BF0">
            <w:pPr>
              <w:numPr>
                <w:ilvl w:val="0"/>
                <w:numId w:val="6"/>
              </w:numPr>
              <w:ind w:left="465"/>
              <w:textAlignment w:val="baseline"/>
              <w:rPr>
                <w:rFonts w:ascii="Arial" w:hAnsi="Arial" w:cs="Arial"/>
                <w:color w:val="000000"/>
                <w:sz w:val="20"/>
                <w:szCs w:val="20"/>
              </w:rPr>
            </w:pPr>
            <w:r w:rsidRPr="000F382E">
              <w:rPr>
                <w:rFonts w:ascii="Arial" w:hAnsi="Arial" w:cs="Arial"/>
                <w:color w:val="000000"/>
                <w:sz w:val="20"/>
                <w:szCs w:val="20"/>
              </w:rPr>
              <w:t>Explain cluster grouping to parents.</w:t>
            </w:r>
          </w:p>
          <w:p w14:paraId="245672C9" w14:textId="0B8BD7C3" w:rsidR="00046BF0" w:rsidRPr="003C4E23" w:rsidRDefault="00046BF0" w:rsidP="00046BF0">
            <w:pPr>
              <w:numPr>
                <w:ilvl w:val="0"/>
                <w:numId w:val="6"/>
              </w:numPr>
              <w:ind w:left="465"/>
              <w:textAlignment w:val="baseline"/>
              <w:rPr>
                <w:rFonts w:ascii="Arial" w:hAnsi="Arial" w:cs="Arial"/>
                <w:sz w:val="20"/>
                <w:szCs w:val="20"/>
              </w:rPr>
            </w:pPr>
            <w:r w:rsidRPr="000F382E">
              <w:rPr>
                <w:rFonts w:ascii="Arial" w:hAnsi="Arial" w:cs="Arial"/>
                <w:sz w:val="20"/>
                <w:szCs w:val="20"/>
              </w:rPr>
              <w:t>Invite the GT/Advance Program Coordinator out to transition/family meetings to explain the various programming options</w:t>
            </w:r>
          </w:p>
        </w:tc>
      </w:tr>
      <w:tr w:rsidR="00046BF0" w:rsidRPr="000F382E" w14:paraId="3B4AD3D6" w14:textId="77777777" w:rsidTr="00046BF0">
        <w:trPr>
          <w:gridAfter w:val="1"/>
          <w:wAfter w:w="6" w:type="pct"/>
        </w:trPr>
        <w:tc>
          <w:tcPr>
            <w:tcW w:w="1126"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394585F7" w14:textId="3E1EFCF7" w:rsidR="00046BF0" w:rsidRPr="000F382E" w:rsidRDefault="00046BF0" w:rsidP="00046BF0">
            <w:pPr>
              <w:rPr>
                <w:rFonts w:ascii="Arial" w:hAnsi="Arial" w:cs="Arial"/>
                <w:sz w:val="20"/>
                <w:szCs w:val="20"/>
              </w:rPr>
            </w:pPr>
            <w:r w:rsidRPr="000F382E">
              <w:rPr>
                <w:rFonts w:ascii="Arial" w:hAnsi="Arial" w:cs="Arial"/>
                <w:sz w:val="20"/>
                <w:szCs w:val="20"/>
              </w:rPr>
              <w:t>Differentiate instruction in the cluster groups.</w:t>
            </w:r>
          </w:p>
        </w:tc>
        <w:tc>
          <w:tcPr>
            <w:tcW w:w="883"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3B311971" w14:textId="1A922E2A"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sz w:val="20"/>
                <w:szCs w:val="20"/>
              </w:rPr>
              <w:t>Classroom teachers</w:t>
            </w:r>
          </w:p>
        </w:tc>
        <w:tc>
          <w:tcPr>
            <w:tcW w:w="813"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65A9CD2E" w14:textId="0B38546F" w:rsidR="00046BF0" w:rsidRPr="000F382E" w:rsidRDefault="00046BF0" w:rsidP="00046BF0">
            <w:pPr>
              <w:rPr>
                <w:rFonts w:ascii="Arial" w:hAnsi="Arial" w:cs="Arial"/>
                <w:sz w:val="20"/>
                <w:szCs w:val="20"/>
              </w:rPr>
            </w:pPr>
            <w:r w:rsidRPr="000F382E">
              <w:rPr>
                <w:rFonts w:ascii="Arial" w:hAnsi="Arial" w:cs="Arial"/>
                <w:sz w:val="20"/>
                <w:szCs w:val="20"/>
              </w:rPr>
              <w:t>August 2018-May</w:t>
            </w:r>
            <w:r w:rsidRPr="000F382E">
              <w:rPr>
                <w:rFonts w:ascii="Arial" w:hAnsi="Arial" w:cs="Arial"/>
                <w:sz w:val="20"/>
                <w:szCs w:val="20"/>
              </w:rPr>
              <w:t xml:space="preserve"> 2019</w:t>
            </w:r>
          </w:p>
        </w:tc>
        <w:tc>
          <w:tcPr>
            <w:tcW w:w="2172" w:type="pct"/>
            <w:gridSpan w:val="2"/>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4BB0125B" w14:textId="77777777" w:rsidR="00046BF0" w:rsidRPr="000F382E" w:rsidRDefault="00046BF0" w:rsidP="00046BF0">
            <w:pPr>
              <w:numPr>
                <w:ilvl w:val="0"/>
                <w:numId w:val="8"/>
              </w:numPr>
              <w:ind w:left="465"/>
              <w:textAlignment w:val="baseline"/>
              <w:rPr>
                <w:rFonts w:ascii="Arial" w:hAnsi="Arial" w:cs="Arial"/>
                <w:color w:val="000000"/>
                <w:sz w:val="20"/>
                <w:szCs w:val="20"/>
              </w:rPr>
            </w:pPr>
            <w:r w:rsidRPr="000F382E">
              <w:rPr>
                <w:rFonts w:ascii="Arial" w:hAnsi="Arial" w:cs="Arial"/>
                <w:color w:val="000000"/>
                <w:sz w:val="20"/>
                <w:szCs w:val="20"/>
              </w:rPr>
              <w:t xml:space="preserve">Teachers utilize </w:t>
            </w:r>
            <w:proofErr w:type="spellStart"/>
            <w:r w:rsidRPr="000F382E">
              <w:rPr>
                <w:rFonts w:ascii="Arial" w:hAnsi="Arial" w:cs="Arial"/>
                <w:color w:val="000000"/>
                <w:sz w:val="20"/>
                <w:szCs w:val="20"/>
              </w:rPr>
              <w:t>preassessment</w:t>
            </w:r>
            <w:proofErr w:type="spellEnd"/>
            <w:r w:rsidRPr="000F382E">
              <w:rPr>
                <w:rFonts w:ascii="Arial" w:hAnsi="Arial" w:cs="Arial"/>
                <w:color w:val="000000"/>
                <w:sz w:val="20"/>
                <w:szCs w:val="20"/>
              </w:rPr>
              <w:t xml:space="preserve"> strategies to determine what students know and what they are ready to learn.</w:t>
            </w:r>
          </w:p>
          <w:p w14:paraId="3CBD082C" w14:textId="77777777" w:rsidR="00046BF0" w:rsidRPr="000F382E" w:rsidRDefault="00046BF0" w:rsidP="00046BF0">
            <w:pPr>
              <w:numPr>
                <w:ilvl w:val="0"/>
                <w:numId w:val="8"/>
              </w:numPr>
              <w:ind w:left="465"/>
              <w:textAlignment w:val="baseline"/>
              <w:rPr>
                <w:rFonts w:ascii="Arial" w:hAnsi="Arial" w:cs="Arial"/>
                <w:color w:val="000000"/>
                <w:sz w:val="20"/>
                <w:szCs w:val="20"/>
              </w:rPr>
            </w:pPr>
            <w:r w:rsidRPr="000F382E">
              <w:rPr>
                <w:rFonts w:ascii="Arial" w:hAnsi="Arial" w:cs="Arial"/>
                <w:color w:val="000000"/>
                <w:sz w:val="20"/>
                <w:szCs w:val="20"/>
              </w:rPr>
              <w:t>Teachers use differentiation strategies to vary the content, pace, process, and products for students.</w:t>
            </w:r>
          </w:p>
          <w:p w14:paraId="02CADB47" w14:textId="3AEF5507" w:rsidR="00046BF0" w:rsidRPr="000F382E" w:rsidRDefault="00046BF0" w:rsidP="00046BF0">
            <w:pPr>
              <w:numPr>
                <w:ilvl w:val="0"/>
                <w:numId w:val="2"/>
              </w:numPr>
              <w:ind w:left="465"/>
              <w:textAlignment w:val="baseline"/>
              <w:rPr>
                <w:rFonts w:ascii="Arial" w:hAnsi="Arial" w:cs="Arial"/>
                <w:color w:val="000000"/>
                <w:sz w:val="20"/>
                <w:szCs w:val="20"/>
              </w:rPr>
            </w:pPr>
            <w:r w:rsidRPr="000F382E">
              <w:rPr>
                <w:rFonts w:ascii="Arial" w:hAnsi="Arial" w:cs="Arial"/>
                <w:color w:val="000000"/>
                <w:sz w:val="20"/>
                <w:szCs w:val="20"/>
              </w:rPr>
              <w:t>Ongoing assessment supports differentiation and ensures that students make continuous progress.</w:t>
            </w:r>
          </w:p>
        </w:tc>
      </w:tr>
      <w:tr w:rsidR="00046BF0" w:rsidRPr="000F382E" w14:paraId="50B05A5A" w14:textId="77777777" w:rsidTr="00046BF0">
        <w:trPr>
          <w:gridAfter w:val="1"/>
          <w:wAfter w:w="6" w:type="pct"/>
        </w:trPr>
        <w:tc>
          <w:tcPr>
            <w:tcW w:w="1126"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39C25755" w14:textId="0FB85D6F" w:rsidR="00046BF0" w:rsidRPr="000F382E" w:rsidRDefault="00046BF0" w:rsidP="00046BF0">
            <w:pPr>
              <w:rPr>
                <w:rFonts w:ascii="Arial" w:hAnsi="Arial" w:cs="Arial"/>
                <w:sz w:val="20"/>
                <w:szCs w:val="20"/>
              </w:rPr>
            </w:pPr>
            <w:r w:rsidRPr="000F382E">
              <w:rPr>
                <w:rFonts w:ascii="Arial" w:hAnsi="Arial" w:cs="Arial"/>
                <w:sz w:val="20"/>
                <w:szCs w:val="20"/>
              </w:rPr>
              <w:t>Provide strong administrative support for cluster grouping.</w:t>
            </w:r>
          </w:p>
        </w:tc>
        <w:tc>
          <w:tcPr>
            <w:tcW w:w="883"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6F9D33F7" w14:textId="078110B7" w:rsidR="00046BF0" w:rsidRPr="000F382E" w:rsidRDefault="00046BF0" w:rsidP="00046BF0">
            <w:pPr>
              <w:numPr>
                <w:ilvl w:val="0"/>
                <w:numId w:val="2"/>
              </w:numPr>
              <w:ind w:left="465"/>
              <w:textAlignment w:val="baseline"/>
              <w:rPr>
                <w:rFonts w:ascii="Arial" w:hAnsi="Arial" w:cs="Arial"/>
                <w:sz w:val="20"/>
                <w:szCs w:val="20"/>
              </w:rPr>
            </w:pPr>
            <w:r w:rsidRPr="000F382E">
              <w:rPr>
                <w:rFonts w:ascii="Arial" w:hAnsi="Arial" w:cs="Arial"/>
                <w:sz w:val="20"/>
                <w:szCs w:val="20"/>
              </w:rPr>
              <w:t xml:space="preserve">Principal </w:t>
            </w:r>
          </w:p>
        </w:tc>
        <w:tc>
          <w:tcPr>
            <w:tcW w:w="813" w:type="pct"/>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7CDF6DA2" w14:textId="01B4353B" w:rsidR="00046BF0" w:rsidRPr="000F382E" w:rsidRDefault="00046BF0" w:rsidP="00046BF0">
            <w:pPr>
              <w:rPr>
                <w:rFonts w:ascii="Arial" w:hAnsi="Arial" w:cs="Arial"/>
                <w:sz w:val="20"/>
                <w:szCs w:val="20"/>
              </w:rPr>
            </w:pPr>
            <w:r w:rsidRPr="000F382E">
              <w:rPr>
                <w:rFonts w:ascii="Arial" w:hAnsi="Arial" w:cs="Arial"/>
                <w:sz w:val="20"/>
                <w:szCs w:val="20"/>
              </w:rPr>
              <w:t>On-going</w:t>
            </w:r>
          </w:p>
        </w:tc>
        <w:tc>
          <w:tcPr>
            <w:tcW w:w="2172" w:type="pct"/>
            <w:gridSpan w:val="2"/>
            <w:tcBorders>
              <w:top w:val="single" w:sz="8" w:space="0" w:color="0000FF"/>
              <w:left w:val="single" w:sz="8" w:space="0" w:color="0000FF"/>
              <w:bottom w:val="single" w:sz="8" w:space="0" w:color="0000FF"/>
              <w:right w:val="single" w:sz="8" w:space="0" w:color="0000FF"/>
            </w:tcBorders>
            <w:tcMar>
              <w:top w:w="100" w:type="dxa"/>
              <w:left w:w="100" w:type="dxa"/>
              <w:bottom w:w="100" w:type="dxa"/>
              <w:right w:w="100" w:type="dxa"/>
            </w:tcMar>
          </w:tcPr>
          <w:p w14:paraId="36026A00" w14:textId="77777777" w:rsidR="00046BF0" w:rsidRPr="000F382E" w:rsidRDefault="00046BF0" w:rsidP="00046BF0">
            <w:pPr>
              <w:numPr>
                <w:ilvl w:val="0"/>
                <w:numId w:val="9"/>
              </w:numPr>
              <w:ind w:left="465"/>
              <w:textAlignment w:val="baseline"/>
              <w:rPr>
                <w:rFonts w:ascii="Arial" w:hAnsi="Arial" w:cs="Arial"/>
                <w:color w:val="000000"/>
                <w:sz w:val="20"/>
                <w:szCs w:val="20"/>
              </w:rPr>
            </w:pPr>
            <w:r w:rsidRPr="000F382E">
              <w:rPr>
                <w:rFonts w:ascii="Arial" w:hAnsi="Arial" w:cs="Arial"/>
                <w:color w:val="000000"/>
                <w:sz w:val="20"/>
                <w:szCs w:val="20"/>
              </w:rPr>
              <w:t>Principals recognize that strong administrative support is essential for effective implementation of cluster grouping.</w:t>
            </w:r>
          </w:p>
          <w:p w14:paraId="15A94E48" w14:textId="77777777" w:rsidR="00046BF0" w:rsidRPr="000F382E" w:rsidRDefault="00046BF0" w:rsidP="00046BF0">
            <w:pPr>
              <w:numPr>
                <w:ilvl w:val="0"/>
                <w:numId w:val="9"/>
              </w:numPr>
              <w:ind w:left="465"/>
              <w:textAlignment w:val="baseline"/>
              <w:rPr>
                <w:rFonts w:ascii="Arial" w:hAnsi="Arial" w:cs="Arial"/>
                <w:color w:val="000000"/>
                <w:sz w:val="20"/>
                <w:szCs w:val="20"/>
              </w:rPr>
            </w:pPr>
            <w:r w:rsidRPr="000F382E">
              <w:rPr>
                <w:rFonts w:ascii="Arial" w:hAnsi="Arial" w:cs="Arial"/>
                <w:color w:val="000000"/>
                <w:sz w:val="20"/>
                <w:szCs w:val="20"/>
              </w:rPr>
              <w:t>Principals have a key role in communicating the value of cluster grouping in raising student achievement to all staff, parents, and community.</w:t>
            </w:r>
          </w:p>
          <w:p w14:paraId="3A19B8F3" w14:textId="77777777" w:rsidR="006C6902" w:rsidRPr="000F382E" w:rsidRDefault="00046BF0" w:rsidP="00046BF0">
            <w:pPr>
              <w:numPr>
                <w:ilvl w:val="0"/>
                <w:numId w:val="9"/>
              </w:numPr>
              <w:ind w:left="465"/>
              <w:textAlignment w:val="baseline"/>
              <w:rPr>
                <w:rFonts w:ascii="Arial" w:hAnsi="Arial" w:cs="Arial"/>
                <w:color w:val="000000"/>
                <w:sz w:val="20"/>
                <w:szCs w:val="20"/>
              </w:rPr>
            </w:pPr>
            <w:r w:rsidRPr="000F382E">
              <w:rPr>
                <w:rFonts w:ascii="Arial" w:hAnsi="Arial" w:cs="Arial"/>
                <w:color w:val="000000"/>
                <w:sz w:val="20"/>
                <w:szCs w:val="20"/>
              </w:rPr>
              <w:lastRenderedPageBreak/>
              <w:t>Administrators plan for ongoing professional development to build the capacity of teachers to meet the needs of their high ability students.</w:t>
            </w:r>
          </w:p>
          <w:p w14:paraId="227DD711" w14:textId="177D39A9" w:rsidR="00046BF0" w:rsidRPr="000F382E" w:rsidRDefault="00046BF0" w:rsidP="00046BF0">
            <w:pPr>
              <w:numPr>
                <w:ilvl w:val="0"/>
                <w:numId w:val="9"/>
              </w:numPr>
              <w:ind w:left="465"/>
              <w:textAlignment w:val="baseline"/>
              <w:rPr>
                <w:rFonts w:ascii="Arial" w:hAnsi="Arial" w:cs="Arial"/>
                <w:color w:val="000000"/>
                <w:sz w:val="20"/>
                <w:szCs w:val="20"/>
              </w:rPr>
            </w:pPr>
            <w:r w:rsidRPr="000F382E">
              <w:rPr>
                <w:rFonts w:ascii="Arial" w:hAnsi="Arial" w:cs="Arial"/>
                <w:color w:val="000000"/>
                <w:sz w:val="20"/>
                <w:szCs w:val="20"/>
              </w:rPr>
              <w:t>Principals realize that successful implementation of the cluster grouping model takes time and that it is important to support teachers in this process and keep changes to teaching assignments minimal.</w:t>
            </w:r>
          </w:p>
        </w:tc>
      </w:tr>
    </w:tbl>
    <w:p w14:paraId="35D6D6BF" w14:textId="77777777" w:rsidR="00E064A9" w:rsidRPr="000F382E" w:rsidRDefault="003C4E23">
      <w:pPr>
        <w:rPr>
          <w:rFonts w:ascii="Arial" w:hAnsi="Arial" w:cs="Arial"/>
          <w:sz w:val="20"/>
          <w:szCs w:val="20"/>
        </w:rPr>
      </w:pPr>
    </w:p>
    <w:sectPr w:rsidR="00E064A9" w:rsidRPr="000F382E" w:rsidSect="00DD3864">
      <w:pgSz w:w="15840" w:h="12240" w:orient="landscape"/>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55F"/>
    <w:multiLevelType w:val="multilevel"/>
    <w:tmpl w:val="D9DC5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F7814"/>
    <w:multiLevelType w:val="hybridMultilevel"/>
    <w:tmpl w:val="B0925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1758D"/>
    <w:multiLevelType w:val="multilevel"/>
    <w:tmpl w:val="C43C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C5D46"/>
    <w:multiLevelType w:val="multilevel"/>
    <w:tmpl w:val="190C2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3526A1"/>
    <w:multiLevelType w:val="multilevel"/>
    <w:tmpl w:val="3EDCF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EC5B26"/>
    <w:multiLevelType w:val="multilevel"/>
    <w:tmpl w:val="38906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AD3C4A"/>
    <w:multiLevelType w:val="multilevel"/>
    <w:tmpl w:val="275E9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9F65BE"/>
    <w:multiLevelType w:val="hybridMultilevel"/>
    <w:tmpl w:val="F768F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F74C5E"/>
    <w:multiLevelType w:val="multilevel"/>
    <w:tmpl w:val="F1109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AE3501"/>
    <w:multiLevelType w:val="multilevel"/>
    <w:tmpl w:val="3C808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6222AA"/>
    <w:multiLevelType w:val="hybridMultilevel"/>
    <w:tmpl w:val="04EAF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2C1D70"/>
    <w:multiLevelType w:val="multilevel"/>
    <w:tmpl w:val="02107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25166B"/>
    <w:multiLevelType w:val="multilevel"/>
    <w:tmpl w:val="722A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647277"/>
    <w:multiLevelType w:val="multilevel"/>
    <w:tmpl w:val="43100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397E9C"/>
    <w:multiLevelType w:val="multilevel"/>
    <w:tmpl w:val="125E1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3"/>
  </w:num>
  <w:num w:numId="4">
    <w:abstractNumId w:val="5"/>
  </w:num>
  <w:num w:numId="5">
    <w:abstractNumId w:val="0"/>
  </w:num>
  <w:num w:numId="6">
    <w:abstractNumId w:val="13"/>
  </w:num>
  <w:num w:numId="7">
    <w:abstractNumId w:val="6"/>
  </w:num>
  <w:num w:numId="8">
    <w:abstractNumId w:val="14"/>
  </w:num>
  <w:num w:numId="9">
    <w:abstractNumId w:val="11"/>
  </w:num>
  <w:num w:numId="10">
    <w:abstractNumId w:val="2"/>
  </w:num>
  <w:num w:numId="11">
    <w:abstractNumId w:val="12"/>
  </w:num>
  <w:num w:numId="12">
    <w:abstractNumId w:val="9"/>
  </w:num>
  <w:num w:numId="13">
    <w:abstractNumId w:val="1"/>
  </w:num>
  <w:num w:numId="14">
    <w:abstractNumId w:val="7"/>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6D2"/>
    <w:rsid w:val="00026597"/>
    <w:rsid w:val="00046BF0"/>
    <w:rsid w:val="000F382E"/>
    <w:rsid w:val="00145906"/>
    <w:rsid w:val="00174BDA"/>
    <w:rsid w:val="001776BA"/>
    <w:rsid w:val="00193AC8"/>
    <w:rsid w:val="001F2B91"/>
    <w:rsid w:val="00283921"/>
    <w:rsid w:val="002B67F1"/>
    <w:rsid w:val="003C4E23"/>
    <w:rsid w:val="004550F4"/>
    <w:rsid w:val="00471749"/>
    <w:rsid w:val="00550C6B"/>
    <w:rsid w:val="0068604B"/>
    <w:rsid w:val="006A54A8"/>
    <w:rsid w:val="006C6902"/>
    <w:rsid w:val="00826D78"/>
    <w:rsid w:val="008400BC"/>
    <w:rsid w:val="008B3ABB"/>
    <w:rsid w:val="008B6EAE"/>
    <w:rsid w:val="008F27B5"/>
    <w:rsid w:val="00A03ACC"/>
    <w:rsid w:val="00A4611E"/>
    <w:rsid w:val="00A83E62"/>
    <w:rsid w:val="00AF1828"/>
    <w:rsid w:val="00B276D2"/>
    <w:rsid w:val="00B6533C"/>
    <w:rsid w:val="00BE30A0"/>
    <w:rsid w:val="00C416D8"/>
    <w:rsid w:val="00D5046F"/>
    <w:rsid w:val="00DD3864"/>
    <w:rsid w:val="00DE426B"/>
    <w:rsid w:val="00DF5E7F"/>
    <w:rsid w:val="00E321CB"/>
    <w:rsid w:val="00EB670D"/>
    <w:rsid w:val="00EB79A0"/>
    <w:rsid w:val="00F37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EAA7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76D2"/>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EB67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055019">
      <w:bodyDiv w:val="1"/>
      <w:marLeft w:val="0"/>
      <w:marRight w:val="0"/>
      <w:marTop w:val="0"/>
      <w:marBottom w:val="0"/>
      <w:divBdr>
        <w:top w:val="none" w:sz="0" w:space="0" w:color="auto"/>
        <w:left w:val="none" w:sz="0" w:space="0" w:color="auto"/>
        <w:bottom w:val="none" w:sz="0" w:space="0" w:color="auto"/>
        <w:right w:val="none" w:sz="0" w:space="0" w:color="auto"/>
      </w:divBdr>
      <w:divsChild>
        <w:div w:id="1406495401">
          <w:marLeft w:val="0"/>
          <w:marRight w:val="0"/>
          <w:marTop w:val="0"/>
          <w:marBottom w:val="0"/>
          <w:divBdr>
            <w:top w:val="none" w:sz="0" w:space="0" w:color="auto"/>
            <w:left w:val="none" w:sz="0" w:space="0" w:color="auto"/>
            <w:bottom w:val="none" w:sz="0" w:space="0" w:color="auto"/>
            <w:right w:val="none" w:sz="0" w:space="0" w:color="auto"/>
          </w:divBdr>
        </w:div>
      </w:divsChild>
    </w:div>
    <w:div w:id="19555582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Dailey</dc:creator>
  <cp:keywords/>
  <dc:description/>
  <cp:lastModifiedBy>Inman, Tracy</cp:lastModifiedBy>
  <cp:revision>6</cp:revision>
  <dcterms:created xsi:type="dcterms:W3CDTF">2018-05-01T19:20:00Z</dcterms:created>
  <dcterms:modified xsi:type="dcterms:W3CDTF">2018-05-01T19:55:00Z</dcterms:modified>
</cp:coreProperties>
</file>